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C0" w:rsidRDefault="008E5EC0" w:rsidP="008E5EC0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bCs/>
          <w:color w:val="000000"/>
          <w:lang w:val="es-MX"/>
        </w:rPr>
      </w:pPr>
      <w:r>
        <w:rPr>
          <w:rFonts w:ascii="Palatino Linotype" w:hAnsi="Palatino Linotype" w:cs="Arial"/>
          <w:b/>
        </w:rPr>
        <w:t xml:space="preserve">OPINIÓN </w:t>
      </w:r>
      <w:r w:rsidRPr="003815D0">
        <w:rPr>
          <w:rFonts w:ascii="Palatino Linotype" w:hAnsi="Palatino Linotype" w:cs="Arial"/>
          <w:b/>
        </w:rPr>
        <w:t xml:space="preserve">PARTICULAR </w:t>
      </w:r>
      <w:r>
        <w:rPr>
          <w:rFonts w:ascii="Palatino Linotype" w:hAnsi="Palatino Linotype" w:cs="Arial"/>
          <w:b/>
        </w:rPr>
        <w:t>Q</w:t>
      </w:r>
      <w:r w:rsidRPr="003815D0">
        <w:rPr>
          <w:rFonts w:ascii="Palatino Linotype" w:hAnsi="Palatino Linotype" w:cs="Arial"/>
          <w:b/>
        </w:rPr>
        <w:t xml:space="preserve">UE FORMULA LA COMISIONADA EVA ABAID YAPUR, EN </w:t>
      </w:r>
      <w:r w:rsidRPr="00C93BF6">
        <w:rPr>
          <w:rFonts w:ascii="Palatino Linotype" w:hAnsi="Palatino Linotype" w:cs="Arial"/>
          <w:b/>
        </w:rPr>
        <w:t>RELACIÓN CON LA RESOLUCIÓN DICTADA POR EL 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>O DE MÉXICO Y M</w:t>
      </w:r>
      <w:r w:rsidR="00A975AE">
        <w:rPr>
          <w:rFonts w:ascii="Palatino Linotype" w:hAnsi="Palatino Linotype" w:cs="Arial"/>
          <w:b/>
        </w:rPr>
        <w:t>UNICIPIOS, EN LA TRIGÉSIMA OCTAVA</w:t>
      </w:r>
      <w:r>
        <w:rPr>
          <w:rFonts w:ascii="Palatino Linotype" w:hAnsi="Palatino Linotype" w:cs="Arial"/>
          <w:b/>
        </w:rPr>
        <w:t xml:space="preserve"> SESIÓN ORDINARIA DEL </w:t>
      </w:r>
      <w:r w:rsidR="00A975AE">
        <w:rPr>
          <w:rFonts w:ascii="Palatino Linotype" w:hAnsi="Palatino Linotype" w:cs="Arial"/>
          <w:b/>
        </w:rPr>
        <w:t xml:space="preserve">DIECISIETE </w:t>
      </w:r>
      <w:r>
        <w:rPr>
          <w:rFonts w:ascii="Palatino Linotype" w:hAnsi="Palatino Linotype" w:cs="Arial"/>
          <w:b/>
        </w:rPr>
        <w:t xml:space="preserve">DE OCTUBRE DE </w:t>
      </w:r>
      <w:r w:rsidRPr="00C93BF6">
        <w:rPr>
          <w:rFonts w:ascii="Palatino Linotype" w:hAnsi="Palatino Linotype" w:cs="Arial"/>
          <w:b/>
        </w:rPr>
        <w:t>DOS MI</w:t>
      </w:r>
      <w:r>
        <w:rPr>
          <w:rFonts w:ascii="Palatino Linotype" w:hAnsi="Palatino Linotype" w:cs="Arial"/>
          <w:b/>
        </w:rPr>
        <w:t>L DIECIOCHO, EN EL</w:t>
      </w:r>
      <w:r w:rsidRPr="00C93BF6">
        <w:rPr>
          <w:rFonts w:ascii="Palatino Linotype" w:hAnsi="Palatino Linotype" w:cs="Arial"/>
          <w:b/>
        </w:rPr>
        <w:t xml:space="preserve"> RECURSO DE REVISIÓN</w:t>
      </w:r>
      <w:r>
        <w:rPr>
          <w:rFonts w:ascii="Palatino Linotype" w:hAnsi="Palatino Linotype" w:cs="Arial"/>
          <w:b/>
        </w:rPr>
        <w:t xml:space="preserve"> </w:t>
      </w:r>
      <w:r w:rsidR="00A975AE">
        <w:rPr>
          <w:rFonts w:ascii="Palatino Linotype" w:eastAsia="Calibri" w:hAnsi="Palatino Linotype" w:cs="Arial"/>
          <w:b/>
          <w:bCs/>
          <w:color w:val="000000"/>
          <w:lang w:val="es-MX"/>
        </w:rPr>
        <w:t>02891</w:t>
      </w:r>
      <w:r>
        <w:rPr>
          <w:rFonts w:ascii="Palatino Linotype" w:eastAsia="Calibri" w:hAnsi="Palatino Linotype" w:cs="Arial"/>
          <w:b/>
          <w:bCs/>
          <w:color w:val="000000"/>
          <w:lang w:val="es-MX"/>
        </w:rPr>
        <w:t>/INFOEM/IP/RR/2018.</w:t>
      </w:r>
    </w:p>
    <w:p w:rsidR="008E5EC0" w:rsidRDefault="008E5EC0" w:rsidP="008E5EC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>Con fu</w:t>
      </w:r>
      <w:r>
        <w:rPr>
          <w:rFonts w:ascii="Palatino Linotype" w:hAnsi="Palatino Linotype" w:cs="Arial"/>
        </w:rPr>
        <w:t>ndamento en lo dispuesto por el artículo 14, fracciones X</w:t>
      </w:r>
      <w:r w:rsidRPr="00E42755">
        <w:rPr>
          <w:rFonts w:ascii="Palatino Linotype" w:hAnsi="Palatino Linotype" w:cs="Arial"/>
        </w:rPr>
        <w:t xml:space="preserve"> y X</w:t>
      </w:r>
      <w:r>
        <w:rPr>
          <w:rFonts w:ascii="Palatino Linotype" w:hAnsi="Palatino Linotype" w:cs="Arial"/>
        </w:rPr>
        <w:t>I</w:t>
      </w:r>
      <w:r w:rsidRPr="00E42755">
        <w:rPr>
          <w:rFonts w:ascii="Palatino Linotype" w:hAnsi="Palatino Linotype" w:cs="Arial"/>
        </w:rPr>
        <w:t xml:space="preserve"> del Reglamento Interior del Instituto de Transparencia, Acceso a la Información Pública y Protección de Datos Personales del Estado de México y Municipios, la</w:t>
      </w:r>
      <w:r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>,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OPINIÓN</w:t>
      </w:r>
      <w:r w:rsidRPr="00E42755">
        <w:rPr>
          <w:rFonts w:ascii="Palatino Linotype" w:hAnsi="Palatino Linotype" w:cs="Arial"/>
          <w:b/>
        </w:rPr>
        <w:t xml:space="preserve">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>o de la resolución dictada en el</w:t>
      </w:r>
      <w:r w:rsidRPr="00E42755">
        <w:rPr>
          <w:rFonts w:ascii="Palatino Linotype" w:hAnsi="Palatino Linotype" w:cs="Arial"/>
        </w:rPr>
        <w:t xml:space="preserve"> recurso de revisión</w:t>
      </w:r>
      <w:r>
        <w:rPr>
          <w:rFonts w:ascii="Palatino Linotype" w:hAnsi="Palatino Linotype" w:cs="Arial"/>
        </w:rPr>
        <w:t xml:space="preserve"> </w:t>
      </w:r>
      <w:r w:rsidR="00A975AE">
        <w:rPr>
          <w:rFonts w:ascii="Palatino Linotype" w:hAnsi="Palatino Linotype" w:cs="Arial"/>
          <w:b/>
        </w:rPr>
        <w:t>02891</w:t>
      </w:r>
      <w:r>
        <w:rPr>
          <w:rFonts w:ascii="Palatino Linotype" w:eastAsia="Calibri" w:hAnsi="Palatino Linotype" w:cs="Arial"/>
          <w:b/>
          <w:bCs/>
          <w:color w:val="000000"/>
          <w:lang w:val="es-MX"/>
        </w:rPr>
        <w:t>/INFOEM/IP/RR/2018,</w:t>
      </w:r>
      <w:r w:rsidRPr="00E42755">
        <w:rPr>
          <w:rFonts w:ascii="Palatino Linotype" w:hAnsi="Palatino Linotype" w:cs="Arial"/>
        </w:rPr>
        <w:t xml:space="preserve"> pronunciada por el Pleno de este Instituto ante el proyecto </w:t>
      </w:r>
      <w:r w:rsidR="00A975AE">
        <w:rPr>
          <w:rFonts w:ascii="Palatino Linotype" w:hAnsi="Palatino Linotype" w:cs="Arial"/>
        </w:rPr>
        <w:t>presentado por el</w:t>
      </w:r>
      <w:r>
        <w:rPr>
          <w:rFonts w:ascii="Palatino Linotype" w:hAnsi="Palatino Linotype" w:cs="Arial"/>
        </w:rPr>
        <w:t xml:space="preserve"> Comisionad</w:t>
      </w:r>
      <w:r w:rsidR="00A975AE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</w:t>
      </w:r>
      <w:r w:rsidR="00A975AE">
        <w:rPr>
          <w:rFonts w:ascii="Palatino Linotype" w:hAnsi="Palatino Linotype" w:cs="Arial"/>
          <w:b/>
          <w:lang w:val="es-ES_tradnl"/>
        </w:rPr>
        <w:t>JOSÉ GUADALUPE LUNA HE</w:t>
      </w:r>
      <w:r w:rsidR="007F404C">
        <w:rPr>
          <w:rFonts w:ascii="Palatino Linotype" w:hAnsi="Palatino Linotype" w:cs="Arial"/>
          <w:b/>
          <w:lang w:val="es-ES_tradnl"/>
        </w:rPr>
        <w:t>R</w:t>
      </w:r>
      <w:r w:rsidR="00A975AE">
        <w:rPr>
          <w:rFonts w:ascii="Palatino Linotype" w:hAnsi="Palatino Linotype" w:cs="Arial"/>
          <w:b/>
          <w:lang w:val="es-ES_tradnl"/>
        </w:rPr>
        <w:t xml:space="preserve">NÁNDEZ, </w:t>
      </w:r>
      <w:r>
        <w:rPr>
          <w:rFonts w:ascii="Palatino Linotype" w:hAnsi="Palatino Linotype" w:cs="Arial"/>
        </w:rPr>
        <w:t>que es del tenor siguiente.</w:t>
      </w:r>
    </w:p>
    <w:p w:rsidR="00BE1104" w:rsidRDefault="008E5EC0" w:rsidP="008E5EC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93BF6">
        <w:rPr>
          <w:rFonts w:ascii="Palatino Linotype" w:hAnsi="Palatino Linotype"/>
        </w:rPr>
        <w:t>Como quedó precisad</w:t>
      </w:r>
      <w:r>
        <w:rPr>
          <w:rFonts w:ascii="Palatino Linotype" w:hAnsi="Palatino Linotype"/>
        </w:rPr>
        <w:t>o en la resolución de mérito, el</w:t>
      </w:r>
      <w:r w:rsidRPr="00C93BF6">
        <w:rPr>
          <w:rFonts w:ascii="Palatino Linotype" w:hAnsi="Palatino Linotype"/>
        </w:rPr>
        <w:t xml:space="preserve"> particular requirió</w:t>
      </w:r>
      <w:r>
        <w:rPr>
          <w:rFonts w:ascii="Palatino Linotype" w:hAnsi="Palatino Linotype"/>
        </w:rPr>
        <w:t xml:space="preserve"> </w:t>
      </w:r>
      <w:r w:rsidRPr="00C93BF6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 </w:t>
      </w:r>
      <w:r w:rsidRPr="00C93BF6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a </w:t>
      </w:r>
      <w:r w:rsidR="00BE1104" w:rsidRPr="0085012C">
        <w:rPr>
          <w:rFonts w:ascii="Palatino Linotype" w:eastAsia="MS Mincho" w:hAnsi="Palatino Linotype" w:cs="Arial"/>
          <w:b/>
          <w:lang w:val="es-ES_tradnl"/>
        </w:rPr>
        <w:t>Secretaría de Obra Pública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 xml:space="preserve">en lo sucesivo </w:t>
      </w:r>
      <w:r>
        <w:rPr>
          <w:rFonts w:ascii="Palatino Linotype" w:hAnsi="Palatino Linotype"/>
          <w:b/>
        </w:rPr>
        <w:t>EL S</w:t>
      </w:r>
      <w:r w:rsidRPr="00C93BF6">
        <w:rPr>
          <w:rFonts w:ascii="Palatino Linotype" w:hAnsi="Palatino Linotype"/>
          <w:b/>
        </w:rPr>
        <w:t>UJETO OBLIGADO</w:t>
      </w:r>
      <w:r>
        <w:rPr>
          <w:rFonts w:ascii="Palatino Linotype" w:hAnsi="Palatino Linotype"/>
          <w:b/>
        </w:rPr>
        <w:t xml:space="preserve"> </w:t>
      </w:r>
      <w:r w:rsidR="00BE1104">
        <w:rPr>
          <w:rFonts w:ascii="Palatino Linotype" w:hAnsi="Palatino Linotype"/>
        </w:rPr>
        <w:t xml:space="preserve">un listado que incluyera el nombre completo y cédula de identificación del padrón de Directores Responsables de Obra, </w:t>
      </w:r>
      <w:r w:rsidR="00F8241D">
        <w:rPr>
          <w:rFonts w:ascii="Palatino Linotype" w:hAnsi="Palatino Linotype"/>
        </w:rPr>
        <w:t xml:space="preserve">cuya </w:t>
      </w:r>
      <w:r w:rsidR="00BE1104">
        <w:rPr>
          <w:rFonts w:ascii="Palatino Linotype" w:hAnsi="Palatino Linotype"/>
        </w:rPr>
        <w:t xml:space="preserve">cédula </w:t>
      </w:r>
      <w:r w:rsidR="00F8241D">
        <w:rPr>
          <w:rFonts w:ascii="Palatino Linotype" w:hAnsi="Palatino Linotype"/>
        </w:rPr>
        <w:t xml:space="preserve">estuviese </w:t>
      </w:r>
      <w:r w:rsidR="00BE1104">
        <w:rPr>
          <w:rFonts w:ascii="Palatino Linotype" w:hAnsi="Palatino Linotype"/>
        </w:rPr>
        <w:t>vigente en 2017 y 2018.</w:t>
      </w:r>
    </w:p>
    <w:p w:rsidR="00BE1104" w:rsidRDefault="008E5EC0" w:rsidP="008E5EC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 las constancias que obran en el expediente electrónico del </w:t>
      </w:r>
      <w:r w:rsidRPr="00512C95">
        <w:rPr>
          <w:rFonts w:ascii="Palatino Linotype" w:hAnsi="Palatino Linotype"/>
          <w:b/>
        </w:rPr>
        <w:t>SAIMEX</w:t>
      </w:r>
      <w:r>
        <w:rPr>
          <w:rFonts w:ascii="Palatino Linotype" w:hAnsi="Palatino Linotype"/>
        </w:rPr>
        <w:t xml:space="preserve">, se advierte que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 xml:space="preserve">en respuesta </w:t>
      </w:r>
      <w:r w:rsidR="00BE1104">
        <w:rPr>
          <w:rFonts w:ascii="Palatino Linotype" w:hAnsi="Palatino Linotype"/>
        </w:rPr>
        <w:t xml:space="preserve">informó que no se localizó la información solicitada pues actualmente en la página de la Secretaría únicamente se encuentra el </w:t>
      </w:r>
      <w:r w:rsidR="00BE1104">
        <w:rPr>
          <w:rFonts w:ascii="Palatino Linotype" w:hAnsi="Palatino Linotype"/>
        </w:rPr>
        <w:lastRenderedPageBreak/>
        <w:t xml:space="preserve">Padrón de Peritos de Obra, además de que derivado de las reformas a los artículos 18.15 y 18.15 Bis del Código Administrativo para el Estado de México, se crearon las figuras de Director Responsable de Obra Pública y Corresponsable de la Obra, motivo por el cual al ser de nueva creación </w:t>
      </w:r>
      <w:r w:rsidR="00BE1104">
        <w:rPr>
          <w:rFonts w:ascii="Palatino Linotype" w:hAnsi="Palatino Linotype"/>
          <w:b/>
        </w:rPr>
        <w:t>EL SUJETO OBLIGADO</w:t>
      </w:r>
      <w:r w:rsidR="00BE1104">
        <w:rPr>
          <w:rFonts w:ascii="Palatino Linotype" w:hAnsi="Palatino Linotype"/>
        </w:rPr>
        <w:t xml:space="preserve"> se reformaron diversas disposiciones de la Ley Orgánica de la Administración Pública del Estado de México, situación por la cual se está llevando a cabo las modificaciones legales y administrativas para la expedición de las autorizaciones correspondientes.</w:t>
      </w:r>
    </w:p>
    <w:p w:rsidR="008E5EC0" w:rsidRDefault="008E5EC0" w:rsidP="008E5EC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  <w:lang w:val="es-MX" w:eastAsia="es-MX"/>
        </w:rPr>
        <w:t xml:space="preserve">Inconforme con la respuesta </w:t>
      </w:r>
      <w:r>
        <w:rPr>
          <w:rFonts w:ascii="Palatino Linotype" w:hAnsi="Palatino Linotype"/>
          <w:b/>
          <w:color w:val="000000"/>
          <w:lang w:val="es-MX" w:eastAsia="es-MX"/>
        </w:rPr>
        <w:t>EL R</w:t>
      </w:r>
      <w:r w:rsidRPr="00833697">
        <w:rPr>
          <w:rFonts w:ascii="Palatino Linotype" w:hAnsi="Palatino Linotype"/>
          <w:b/>
          <w:color w:val="000000"/>
          <w:lang w:val="es-MX" w:eastAsia="es-MX"/>
        </w:rPr>
        <w:t>ECURRENTE</w:t>
      </w:r>
      <w:r>
        <w:rPr>
          <w:rFonts w:ascii="Palatino Linotype" w:hAnsi="Palatino Linotype"/>
          <w:color w:val="000000"/>
          <w:lang w:val="es-MX" w:eastAsia="es-MX"/>
        </w:rPr>
        <w:t xml:space="preserve"> </w:t>
      </w:r>
      <w:r>
        <w:rPr>
          <w:rFonts w:ascii="Palatino Linotype" w:hAnsi="Palatino Linotype" w:cs="Arial"/>
        </w:rPr>
        <w:t>interpuso el recurso de revisión de mérito, mediante el cual señaló como acto impugnado:</w:t>
      </w:r>
    </w:p>
    <w:p w:rsidR="00BE1104" w:rsidRPr="00BE1104" w:rsidRDefault="008E5EC0" w:rsidP="00A14046">
      <w:pPr>
        <w:spacing w:before="100" w:beforeAutospacing="1" w:after="100" w:afterAutospacing="1"/>
        <w:ind w:left="851" w:right="899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A406FC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>Negativa de proporcionar información solicitada en la solicitud de información 00083/SOPEM/IP/2018 y su oficio de respuesta SOP-CI-0569/2018.” (Sic)</w:t>
      </w:r>
    </w:p>
    <w:p w:rsidR="008E5EC0" w:rsidRDefault="008E5EC0" w:rsidP="008E5EC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Asimismo, manifestó como </w:t>
      </w:r>
      <w:r w:rsidRPr="0057790F">
        <w:rPr>
          <w:rFonts w:ascii="Palatino Linotype" w:hAnsi="Palatino Linotype" w:cs="Arial"/>
        </w:rPr>
        <w:t xml:space="preserve">razones o motivos </w:t>
      </w:r>
      <w:r>
        <w:rPr>
          <w:rFonts w:ascii="Palatino Linotype" w:hAnsi="Palatino Linotype" w:cs="Arial"/>
        </w:rPr>
        <w:t>d</w:t>
      </w:r>
      <w:r w:rsidRPr="0057790F">
        <w:rPr>
          <w:rFonts w:ascii="Palatino Linotype" w:hAnsi="Palatino Linotype" w:cs="Arial"/>
        </w:rPr>
        <w:t>e inconformidad</w:t>
      </w:r>
      <w:r>
        <w:rPr>
          <w:rFonts w:ascii="Palatino Linotype" w:hAnsi="Palatino Linotype" w:cs="Arial"/>
        </w:rPr>
        <w:t>:</w:t>
      </w:r>
    </w:p>
    <w:p w:rsidR="00BE1104" w:rsidRPr="00BE1104" w:rsidRDefault="008E5EC0" w:rsidP="00A14046">
      <w:pPr>
        <w:spacing w:before="100" w:beforeAutospacing="1" w:after="100" w:afterAutospacing="1"/>
        <w:ind w:left="851" w:right="899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BE1104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 xml:space="preserve">Con relación a la solicitud de información 00083/SOPEM/IP/2018 y a su atenta respuesta mediante oficio No. SOP-CI-0569/2018 de fecha 9 de agosto de 2018 me permito exponerles lo siguiente. Dado que una de las funciones que se le asigna a la Secretaría de Obras Púbicas es “Mantener actualizado y facilitar la consulta del catálogo de Peritos Responsables de Obra, de conformidad con la normatividad aplicable...” La respuesta de la Secretaría para negar proporcionar la información solicitada argumenta que aun </w:t>
      </w:r>
      <w:proofErr w:type="spellStart"/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>esta</w:t>
      </w:r>
      <w:proofErr w:type="spellEnd"/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 xml:space="preserve"> llevando a cabo las modificaciones legales y administrativas para la expedición de autorizaciones correspondientes a las nuevas figuras de Director Responsable de Obra y Corresponsable de obra</w:t>
      </w:r>
      <w:r w:rsidR="00BE1104" w:rsidRPr="00A14046">
        <w:rPr>
          <w:rFonts w:ascii="Palatino Linotype" w:hAnsi="Palatino Linotype"/>
          <w:b/>
          <w:i/>
          <w:color w:val="000000"/>
          <w:sz w:val="22"/>
          <w:szCs w:val="22"/>
        </w:rPr>
        <w:t xml:space="preserve">, sin embargo, la información solicitada no corresponde a información sobre nuevas figuras de Director Responsable de Obra y Corresponsable de Obra, sino a la figura anterior de Perito Responsable de Obra y cuyas autorizaciones tienen vigencia en 2017 y aún en 2018 </w:t>
      </w:r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 xml:space="preserve">por lo que el catálogo que en su momento mantenía la Secretaría responsable de esta función antes de ser asignada a la Secretaría de Obras Públicas, debe contener la información que solicito y no existe impedimento </w:t>
      </w:r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lastRenderedPageBreak/>
        <w:t xml:space="preserve">para que me sea proporcionada. Por otro lado, atendiendo al Decreto No. 244 de la H LIX Legislatura Mexiquense publicado en el Periódico Oficial Gaceta del Gobierno el 13 de septiembre de 2017 en el transitorio 4 en donde se menciona que las atribuciones que se otorgan a la Secretaría de Comunicaciones y a la Secretaría de Obras Públicas, en tanto se expidan los reglamentos interiores y demás instrumentos jurídicos y administrativos, necesarios para su funcionamiento, serán ejercidas por conducto de las estructuras orgánicas de la Secretaría de Infraestructura en función de sus competencias vigentes en términos de su Reglamento Interior y Manual de Organización. En virtud de que la Secretaría de Obras Públicas aún está llevando a cabo las modificaciones legales y administrativas para cumplir con esta función, </w:t>
      </w:r>
      <w:r w:rsidR="00BE1104" w:rsidRPr="00F8241D">
        <w:rPr>
          <w:rFonts w:ascii="Palatino Linotype" w:hAnsi="Palatino Linotype"/>
          <w:b/>
          <w:i/>
          <w:color w:val="000000"/>
          <w:sz w:val="22"/>
          <w:szCs w:val="22"/>
        </w:rPr>
        <w:t xml:space="preserve">solicito a la Secretaría de Obras Públicas canalice a la Secretaría de Infraestructura y esta obtenga, a través de sus estructuras orgánicas la información que permita cumplir con la siguiente solicitud: </w:t>
      </w:r>
      <w:r w:rsidR="00BE1104" w:rsidRPr="00F8241D">
        <w:rPr>
          <w:rFonts w:ascii="Palatino Linotype" w:hAnsi="Palatino Linotype"/>
          <w:i/>
          <w:color w:val="000000"/>
          <w:sz w:val="22"/>
          <w:szCs w:val="22"/>
        </w:rPr>
        <w:t>“Solicito listado que contenga nombre completo y número de cédula del catálogo de Peritos Responsables de Obra con cédula vigente para 2017 y 2018 con autorización y/o refrendo emitido por la autoridad que corresponda del Gobierno del Estado de México, sus Secretarías y/o sus estructuras orgánicas.” Agradezco</w:t>
      </w:r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 xml:space="preserve"> de antemano la atención a esta solicitud y quedo al pendiente de su respuesta.” (</w:t>
      </w:r>
      <w:proofErr w:type="gramStart"/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>sic</w:t>
      </w:r>
      <w:proofErr w:type="gramEnd"/>
      <w:r w:rsidR="00BE1104" w:rsidRPr="00BE1104">
        <w:rPr>
          <w:rFonts w:ascii="Palatino Linotype" w:hAnsi="Palatino Linotype"/>
          <w:i/>
          <w:color w:val="000000"/>
          <w:sz w:val="22"/>
          <w:szCs w:val="22"/>
        </w:rPr>
        <w:t xml:space="preserve">). </w:t>
      </w:r>
    </w:p>
    <w:p w:rsidR="008E5EC0" w:rsidRDefault="008E5EC0" w:rsidP="008E5EC0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Del análisis al recurso de revisión, la Ponencia Resolutora al emitir la resolución concluyó que </w:t>
      </w:r>
      <w:r w:rsidRPr="00F33971">
        <w:rPr>
          <w:rFonts w:ascii="Palatino Linotype" w:hAnsi="Palatino Linotype" w:cs="Arial"/>
          <w:i/>
        </w:rPr>
        <w:t>“</w:t>
      </w:r>
      <w:r>
        <w:rPr>
          <w:rFonts w:ascii="Palatino Linotype" w:hAnsi="Palatino Linotype" w:cs="Arial"/>
          <w:b/>
        </w:rPr>
        <w:t>Resultan fundada</w:t>
      </w:r>
      <w:r w:rsidRPr="00301432">
        <w:rPr>
          <w:rFonts w:ascii="Palatino Linotype" w:hAnsi="Palatino Linotype" w:cs="Arial"/>
          <w:b/>
        </w:rPr>
        <w:t>s</w:t>
      </w:r>
      <w:r>
        <w:rPr>
          <w:rFonts w:ascii="Palatino Linotype" w:hAnsi="Palatino Linotype" w:cs="Arial"/>
        </w:rPr>
        <w:t xml:space="preserve"> las razones o m</w:t>
      </w:r>
      <w:r w:rsidRPr="009B1959">
        <w:rPr>
          <w:rFonts w:ascii="Palatino Linotype" w:hAnsi="Palatino Linotype" w:cs="Arial"/>
        </w:rPr>
        <w:t>otivos de i</w:t>
      </w:r>
      <w:r>
        <w:rPr>
          <w:rFonts w:ascii="Palatino Linotype" w:hAnsi="Palatino Linotype" w:cs="Arial"/>
        </w:rPr>
        <w:t xml:space="preserve">nconformidad hechos valer </w:t>
      </w:r>
      <w:r w:rsidR="00A14046">
        <w:rPr>
          <w:rFonts w:ascii="Palatino Linotype" w:hAnsi="Palatino Linotype" w:cs="Arial"/>
        </w:rPr>
        <w:t>en el recurso de revisión…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 xml:space="preserve">, y derivado de la repuesta del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>determinó</w:t>
      </w:r>
      <w:r w:rsidR="00A14046">
        <w:rPr>
          <w:rFonts w:ascii="Palatino Linotype" w:hAnsi="Palatino Linotype" w:cs="Arial"/>
        </w:rPr>
        <w:t xml:space="preserve"> revocarla </w:t>
      </w:r>
      <w:r>
        <w:rPr>
          <w:rFonts w:ascii="Palatino Linotype" w:hAnsi="Palatino Linotype" w:cs="Arial"/>
        </w:rPr>
        <w:t xml:space="preserve">y ordenar la entrega </w:t>
      </w:r>
      <w:r>
        <w:rPr>
          <w:rFonts w:ascii="Palatino Linotype" w:hAnsi="Palatino Linotype" w:cs="Arial"/>
          <w:b/>
        </w:rPr>
        <w:t>vía SAIMEX</w:t>
      </w:r>
      <w:r w:rsidR="00A14046">
        <w:rPr>
          <w:rFonts w:ascii="Palatino Linotype" w:hAnsi="Palatino Linotype" w:cs="Arial"/>
          <w:b/>
        </w:rPr>
        <w:t xml:space="preserve"> </w:t>
      </w:r>
      <w:r w:rsidR="00A14046">
        <w:rPr>
          <w:rFonts w:ascii="Palatino Linotype" w:hAnsi="Palatino Linotype" w:cs="Arial"/>
        </w:rPr>
        <w:t xml:space="preserve">previa búsqueda exhaustiva y razonable, en versión pública </w:t>
      </w:r>
      <w:r>
        <w:rPr>
          <w:rFonts w:ascii="Palatino Linotype" w:hAnsi="Palatino Linotype" w:cs="Arial"/>
        </w:rPr>
        <w:t xml:space="preserve">de </w:t>
      </w:r>
      <w:r w:rsidRPr="00271D0C">
        <w:rPr>
          <w:rFonts w:ascii="Palatino Linotype" w:hAnsi="Palatino Linotype"/>
        </w:rPr>
        <w:t>lo siguiente:</w:t>
      </w:r>
    </w:p>
    <w:p w:rsidR="00A14046" w:rsidRDefault="00A14046" w:rsidP="00A14046">
      <w:pPr>
        <w:pStyle w:val="Prrafodelista"/>
        <w:numPr>
          <w:ilvl w:val="0"/>
          <w:numId w:val="3"/>
        </w:numPr>
        <w:tabs>
          <w:tab w:val="left" w:pos="7797"/>
        </w:tabs>
        <w:spacing w:before="100" w:beforeAutospacing="1" w:after="100" w:afterAutospacing="1"/>
        <w:ind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A14046">
        <w:rPr>
          <w:rFonts w:ascii="Palatino Linotype" w:hAnsi="Palatino Linotype" w:cs="Arial"/>
          <w:i/>
          <w:sz w:val="22"/>
          <w:szCs w:val="22"/>
        </w:rPr>
        <w:t>El Padrón de Peritos o en su caso Directores Responsables de Obra del año 2017 y del uno (1) de enero al veintiséis (26) de junio del 2018; y</w:t>
      </w:r>
    </w:p>
    <w:p w:rsidR="00A14046" w:rsidRPr="00A14046" w:rsidRDefault="00A14046" w:rsidP="00A14046">
      <w:pPr>
        <w:pStyle w:val="Prrafodelista"/>
        <w:numPr>
          <w:ilvl w:val="0"/>
          <w:numId w:val="3"/>
        </w:numPr>
        <w:tabs>
          <w:tab w:val="left" w:pos="7797"/>
        </w:tabs>
        <w:spacing w:before="100" w:beforeAutospacing="1" w:after="100" w:afterAutospacing="1"/>
        <w:ind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A14046">
        <w:rPr>
          <w:rFonts w:ascii="Palatino Linotype" w:hAnsi="Palatino Linotype" w:cs="Arial"/>
          <w:i/>
          <w:sz w:val="22"/>
          <w:szCs w:val="22"/>
        </w:rPr>
        <w:t>El Acuerdo de Clasificación emitido por el Comité de Transparencia, en el que se clasifique en su totalidad como información confidencial las documentales concernientes a las credenciales expedidas a Peritos o en su caso Directores Responsables de Obra del año 2017 y del uno (1) de enero al veintiséis (26) de junio del 2018.</w:t>
      </w:r>
    </w:p>
    <w:p w:rsidR="00A14046" w:rsidRPr="00A14046" w:rsidRDefault="00A14046" w:rsidP="00A14046">
      <w:pPr>
        <w:pStyle w:val="Prrafodelista"/>
        <w:tabs>
          <w:tab w:val="left" w:pos="7797"/>
        </w:tabs>
        <w:spacing w:before="100" w:beforeAutospacing="1" w:after="100" w:afterAutospacing="1"/>
        <w:ind w:left="850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A14046">
        <w:rPr>
          <w:rFonts w:ascii="Palatino Linotype" w:hAnsi="Palatino Linotype" w:cs="Arial"/>
          <w:i/>
          <w:sz w:val="22"/>
          <w:szCs w:val="22"/>
        </w:rPr>
        <w:lastRenderedPageBreak/>
        <w:t>De ser el caso,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 versión pública que se formule.</w:t>
      </w:r>
    </w:p>
    <w:p w:rsidR="00A14046" w:rsidRPr="00A14046" w:rsidRDefault="00253377" w:rsidP="00A1404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CO"/>
        </w:rPr>
        <w:t>Así,</w:t>
      </w:r>
      <w:r w:rsidR="008E5EC0">
        <w:rPr>
          <w:rFonts w:ascii="Palatino Linotype" w:hAnsi="Palatino Linotype" w:cs="Arial"/>
          <w:lang w:eastAsia="es-CO"/>
        </w:rPr>
        <w:t xml:space="preserve"> aun cuando la suscrita coincide en términos generales con el sentido de la resolución de mérito, </w:t>
      </w:r>
      <w:r w:rsidR="008E5EC0">
        <w:rPr>
          <w:rFonts w:ascii="Palatino Linotype" w:hAnsi="Palatino Linotype"/>
          <w:color w:val="000000"/>
        </w:rPr>
        <w:t xml:space="preserve">no pasa desapercibido el hecho de que, </w:t>
      </w:r>
      <w:r w:rsidR="00A14046">
        <w:rPr>
          <w:rFonts w:ascii="Palatino Linotype" w:hAnsi="Palatino Linotype"/>
          <w:b/>
          <w:color w:val="000000"/>
        </w:rPr>
        <w:t>EL</w:t>
      </w:r>
      <w:r w:rsidR="008E5EC0">
        <w:rPr>
          <w:rFonts w:ascii="Palatino Linotype" w:hAnsi="Palatino Linotype"/>
          <w:b/>
          <w:color w:val="000000"/>
        </w:rPr>
        <w:t xml:space="preserve"> </w:t>
      </w:r>
      <w:r w:rsidR="008E5EC0" w:rsidRPr="00E5337B">
        <w:rPr>
          <w:rFonts w:ascii="Palatino Linotype" w:hAnsi="Palatino Linotype"/>
          <w:b/>
          <w:color w:val="000000"/>
        </w:rPr>
        <w:t>RECURRENTE</w:t>
      </w:r>
      <w:r w:rsidR="008E5EC0" w:rsidRPr="002101AA">
        <w:rPr>
          <w:rFonts w:ascii="Palatino Linotype" w:hAnsi="Palatino Linotype"/>
          <w:color w:val="000000"/>
        </w:rPr>
        <w:t xml:space="preserve">, </w:t>
      </w:r>
      <w:r w:rsidR="008E5EC0">
        <w:rPr>
          <w:rFonts w:ascii="Palatino Linotype" w:hAnsi="Palatino Linotype"/>
          <w:color w:val="000000"/>
        </w:rPr>
        <w:t xml:space="preserve">en sus razones o motivos de inconformidad, realizó </w:t>
      </w:r>
      <w:r w:rsidR="00A14046">
        <w:rPr>
          <w:rFonts w:ascii="Palatino Linotype" w:hAnsi="Palatino Linotype" w:cs="Arial"/>
          <w:lang w:eastAsia="es-MX"/>
        </w:rPr>
        <w:t>cuestionamientos novedosos respecto a los formulados en la solicitud de información, “…</w:t>
      </w:r>
      <w:r w:rsidR="00F8241D" w:rsidRPr="00F8241D">
        <w:rPr>
          <w:rFonts w:ascii="Palatino Linotype" w:hAnsi="Palatino Linotype"/>
          <w:b/>
          <w:i/>
          <w:color w:val="000000"/>
        </w:rPr>
        <w:t>solicito a la Secretaría de Obras Públicas canalice a la Secretaría de Infraestructura y esta obtenga, a través de sus estructuras orgánicas la información que permita cumplir con la siguiente solicitud</w:t>
      </w:r>
      <w:r w:rsidR="00A14046">
        <w:rPr>
          <w:rFonts w:ascii="Palatino Linotype" w:hAnsi="Palatino Linotype"/>
          <w:b/>
          <w:i/>
          <w:color w:val="000000"/>
        </w:rPr>
        <w:t>…” (Sic)</w:t>
      </w:r>
      <w:r w:rsidR="00A14046">
        <w:rPr>
          <w:rFonts w:ascii="Palatino Linotype" w:hAnsi="Palatino Linotype"/>
        </w:rPr>
        <w:t xml:space="preserve">, argumentos que resultan improcedentes, en atención a que entre los datos precisados en la solicitud de información y los agravios expuestos existe congruencia; sin embargo, </w:t>
      </w:r>
      <w:r w:rsidR="00A14046">
        <w:rPr>
          <w:rFonts w:ascii="Palatino Linotype" w:hAnsi="Palatino Linotype"/>
          <w:b/>
        </w:rPr>
        <w:t>EL RECURRENTE</w:t>
      </w:r>
      <w:r w:rsidR="00A14046">
        <w:rPr>
          <w:rFonts w:ascii="Palatino Linotype" w:hAnsi="Palatino Linotype"/>
        </w:rPr>
        <w:t xml:space="preserve"> pretende ampliarlos a través de la interposición del recurso de revisión.</w:t>
      </w:r>
    </w:p>
    <w:p w:rsidR="000C32C4" w:rsidRDefault="00253377" w:rsidP="0025337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color w:val="000000"/>
        </w:rPr>
        <w:t xml:space="preserve">Bajo ese orden de ideas, la suscrita considera que </w:t>
      </w:r>
      <w:r>
        <w:rPr>
          <w:rFonts w:ascii="Palatino Linotype" w:hAnsi="Palatino Linotype" w:cs="Arial"/>
          <w:b/>
          <w:color w:val="000000"/>
        </w:rPr>
        <w:t xml:space="preserve">EL SUJETO OBLIGADO </w:t>
      </w:r>
      <w:r>
        <w:rPr>
          <w:rFonts w:ascii="Palatino Linotype" w:hAnsi="Palatino Linotype" w:cs="Arial"/>
          <w:color w:val="000000"/>
        </w:rPr>
        <w:t>dio atención a la solicitud de información en los términos que establece el numeral</w:t>
      </w:r>
      <w:r w:rsidR="000C32C4">
        <w:rPr>
          <w:rFonts w:ascii="Palatino Linotype" w:hAnsi="Palatino Linotype" w:cs="Arial"/>
          <w:color w:val="000000"/>
        </w:rPr>
        <w:t xml:space="preserve"> 167 de la Ley de la materia</w:t>
      </w:r>
      <w:r>
        <w:rPr>
          <w:rFonts w:ascii="Palatino Linotype" w:hAnsi="Palatino Linotype" w:cs="Arial"/>
          <w:color w:val="000000"/>
        </w:rPr>
        <w:t xml:space="preserve">; por lo que, se reitera que lo manifestado por </w:t>
      </w:r>
      <w:r>
        <w:rPr>
          <w:rFonts w:ascii="Palatino Linotype" w:hAnsi="Palatino Linotype" w:cs="Arial"/>
          <w:b/>
          <w:color w:val="000000"/>
        </w:rPr>
        <w:t xml:space="preserve">EL RECURRENTE </w:t>
      </w:r>
      <w:r>
        <w:rPr>
          <w:rFonts w:ascii="Palatino Linotype" w:hAnsi="Palatino Linotype" w:cs="Arial"/>
          <w:color w:val="000000"/>
        </w:rPr>
        <w:t xml:space="preserve">en las razones o motivos de inconformidad, corresponde a </w:t>
      </w:r>
      <w:r w:rsidR="00A14046" w:rsidRPr="00D666E4">
        <w:rPr>
          <w:rFonts w:ascii="Palatino Linotype" w:hAnsi="Palatino Linotype" w:cs="Arial"/>
        </w:rPr>
        <w:t xml:space="preserve">una petición adicional </w:t>
      </w:r>
      <w:r>
        <w:rPr>
          <w:rFonts w:ascii="Palatino Linotype" w:hAnsi="Palatino Linotype" w:cs="Arial"/>
        </w:rPr>
        <w:t xml:space="preserve">consistente en que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remita la solicitud de información que le fue planteada </w:t>
      </w:r>
      <w:r w:rsidR="000C32C4">
        <w:rPr>
          <w:rFonts w:ascii="Palatino Linotype" w:hAnsi="Palatino Linotype" w:cs="Arial"/>
        </w:rPr>
        <w:t>a un</w:t>
      </w:r>
      <w:r>
        <w:rPr>
          <w:rFonts w:ascii="Palatino Linotype" w:hAnsi="Palatino Linotype" w:cs="Arial"/>
        </w:rPr>
        <w:t xml:space="preserve"> Sujeto Obligado</w:t>
      </w:r>
      <w:r w:rsidR="000C32C4">
        <w:rPr>
          <w:rFonts w:ascii="Palatino Linotype" w:hAnsi="Palatino Linotype" w:cs="Arial"/>
        </w:rPr>
        <w:t xml:space="preserve"> diverso</w:t>
      </w:r>
      <w:r>
        <w:rPr>
          <w:rFonts w:ascii="Palatino Linotype" w:hAnsi="Palatino Linotype" w:cs="Arial"/>
        </w:rPr>
        <w:t xml:space="preserve"> situación que no puede llevarse a cabo </w:t>
      </w:r>
      <w:r w:rsidR="000C32C4">
        <w:rPr>
          <w:rFonts w:ascii="Palatino Linotype" w:hAnsi="Palatino Linotype" w:cs="Arial"/>
        </w:rPr>
        <w:t xml:space="preserve">toda vez que no fue requerido a través de la propia solicitud. </w:t>
      </w:r>
    </w:p>
    <w:p w:rsidR="000C32C4" w:rsidRDefault="000C32C4" w:rsidP="000C32C4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lastRenderedPageBreak/>
        <w:t xml:space="preserve">En ese sentido, </w:t>
      </w:r>
      <w:r>
        <w:rPr>
          <w:rFonts w:ascii="Palatino Linotype" w:hAnsi="Palatino Linotype" w:cs="Arial"/>
          <w:color w:val="000000"/>
        </w:rPr>
        <w:t xml:space="preserve">al tratarse de </w:t>
      </w:r>
      <w:r w:rsidRPr="00D666E4">
        <w:rPr>
          <w:rFonts w:ascii="Palatino Linotype" w:hAnsi="Palatino Linotype" w:cs="Arial"/>
        </w:rPr>
        <w:t xml:space="preserve">una petición adicional o </w:t>
      </w:r>
      <w:r w:rsidRPr="00D666E4">
        <w:rPr>
          <w:rFonts w:ascii="Palatino Linotype" w:hAnsi="Palatino Linotype" w:cs="Arial"/>
          <w:i/>
        </w:rPr>
        <w:t xml:space="preserve">plus </w:t>
      </w:r>
      <w:proofErr w:type="spellStart"/>
      <w:r w:rsidRPr="00D666E4">
        <w:rPr>
          <w:rFonts w:ascii="Palatino Linotype" w:hAnsi="Palatino Linotype" w:cs="Arial"/>
          <w:i/>
        </w:rPr>
        <w:t>petitio</w:t>
      </w:r>
      <w:proofErr w:type="spellEnd"/>
      <w:r w:rsidRPr="00D666E4">
        <w:rPr>
          <w:rFonts w:ascii="Palatino Linotype" w:hAnsi="Palatino Linotype" w:cs="Arial"/>
        </w:rPr>
        <w:t>; esto es,</w:t>
      </w:r>
      <w:r>
        <w:rPr>
          <w:rFonts w:ascii="Palatino Linotype" w:hAnsi="Palatino Linotype" w:cs="Arial"/>
        </w:rPr>
        <w:t xml:space="preserve"> la intención de acceder a nueva información mediante la interposición del recurso de revisión</w:t>
      </w:r>
      <w:r>
        <w:rPr>
          <w:rFonts w:ascii="Palatino Linotype" w:hAnsi="Palatino Linotype" w:cs="Arial"/>
          <w:lang w:eastAsia="es-MX"/>
        </w:rPr>
        <w:t xml:space="preserve">, </w:t>
      </w:r>
      <w:r w:rsidRPr="00D666E4">
        <w:rPr>
          <w:rFonts w:ascii="Palatino Linotype" w:hAnsi="Palatino Linotype" w:cs="Arial"/>
          <w:lang w:eastAsia="es-MX"/>
        </w:rPr>
        <w:t>resultaría injustificado examinar</w:t>
      </w:r>
      <w:r>
        <w:rPr>
          <w:rFonts w:ascii="Palatino Linotype" w:hAnsi="Palatino Linotype" w:cs="Arial"/>
          <w:lang w:eastAsia="es-MX"/>
        </w:rPr>
        <w:t xml:space="preserve"> dichos cuestionamientos, máxime que </w:t>
      </w:r>
      <w:r w:rsidRPr="00167532">
        <w:rPr>
          <w:rFonts w:ascii="Palatino Linotype" w:hAnsi="Palatino Linotype" w:cs="Arial"/>
          <w:b/>
          <w:lang w:eastAsia="es-MX"/>
        </w:rPr>
        <w:t>EL SUJETO OBLIGADO</w:t>
      </w:r>
      <w:r>
        <w:rPr>
          <w:rFonts w:ascii="Palatino Linotype" w:hAnsi="Palatino Linotype" w:cs="Arial"/>
          <w:lang w:eastAsia="es-MX"/>
        </w:rPr>
        <w:t>, no tuvo conocimiento de éstos, sino hasta la interposición del recurso de mérito</w:t>
      </w:r>
      <w:r w:rsidRPr="00D666E4">
        <w:rPr>
          <w:rFonts w:ascii="Palatino Linotype" w:hAnsi="Palatino Linotype" w:cs="Arial"/>
          <w:lang w:eastAsia="es-MX"/>
        </w:rPr>
        <w:t>.</w:t>
      </w:r>
      <w:r>
        <w:rPr>
          <w:rFonts w:ascii="Palatino Linotype" w:hAnsi="Palatino Linotype" w:cs="Arial"/>
          <w:lang w:eastAsia="es-MX"/>
        </w:rPr>
        <w:t xml:space="preserve"> </w:t>
      </w:r>
    </w:p>
    <w:p w:rsidR="000C32C4" w:rsidRDefault="000C32C4" w:rsidP="000C32C4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593328">
        <w:rPr>
          <w:rFonts w:ascii="Palatino Linotype" w:hAnsi="Palatino Linotype" w:cs="Arial"/>
          <w:lang w:eastAsia="es-MX"/>
        </w:rPr>
        <w:t>Sirve de apoyo por analogía la</w:t>
      </w:r>
      <w:r>
        <w:rPr>
          <w:rFonts w:ascii="Palatino Linotype" w:hAnsi="Palatino Linotype" w:cs="Arial"/>
          <w:lang w:eastAsia="es-MX"/>
        </w:rPr>
        <w:t xml:space="preserve"> siguiente</w:t>
      </w:r>
      <w:r w:rsidRPr="00593328">
        <w:rPr>
          <w:rFonts w:ascii="Palatino Linotype" w:hAnsi="Palatino Linotype" w:cs="Arial"/>
          <w:lang w:eastAsia="es-MX"/>
        </w:rPr>
        <w:t xml:space="preserve"> tesis jurisprudencial número VI. 2º. A. J/7</w:t>
      </w:r>
      <w:r>
        <w:rPr>
          <w:rFonts w:ascii="Palatino Linotype" w:hAnsi="Palatino Linotype" w:cs="Arial"/>
          <w:lang w:eastAsia="es-MX"/>
        </w:rPr>
        <w:t>, p</w:t>
      </w:r>
      <w:r w:rsidRPr="00593328">
        <w:rPr>
          <w:rFonts w:ascii="Palatino Linotype" w:hAnsi="Palatino Linotype" w:cs="Arial"/>
          <w:lang w:eastAsia="es-MX"/>
        </w:rPr>
        <w:t>ublicada en el Semanario Judicial de la Federación y su gaceta</w:t>
      </w:r>
      <w:r>
        <w:rPr>
          <w:rFonts w:ascii="Palatino Linotype" w:hAnsi="Palatino Linotype" w:cs="Arial"/>
          <w:lang w:eastAsia="es-MX"/>
        </w:rPr>
        <w:t>,</w:t>
      </w:r>
      <w:r w:rsidRPr="00593328">
        <w:rPr>
          <w:rFonts w:ascii="Palatino Linotype" w:hAnsi="Palatino Linotype" w:cs="Arial"/>
          <w:lang w:eastAsia="es-MX"/>
        </w:rPr>
        <w:t xml:space="preserve"> bajo el número de registro 178,788</w:t>
      </w:r>
      <w:r>
        <w:rPr>
          <w:rFonts w:ascii="Palatino Linotype" w:hAnsi="Palatino Linotype" w:cs="Arial"/>
          <w:lang w:eastAsia="es-MX"/>
        </w:rPr>
        <w:t>:</w:t>
      </w:r>
    </w:p>
    <w:p w:rsidR="000C32C4" w:rsidRPr="00F35B8B" w:rsidRDefault="000C32C4" w:rsidP="000C32C4">
      <w:pPr>
        <w:spacing w:line="276" w:lineRule="auto"/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sz w:val="22"/>
          <w:szCs w:val="21"/>
          <w:lang w:eastAsia="es-MX"/>
        </w:rPr>
        <w:t>“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CONCEPTOS DE VIOLACIÓN EN EL AMPARO DIRECTO.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INOPERANCIA DE LOS QUE INTRODUCEN CUESTIONAMIENTOS NOVEDOSOS QUE NO FUERON PLANTEADOS EN EL JUICIO NATURAL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.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Si en los conceptos de violación se formulan argumentos que no se plantearon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 ante la Sala Fiscal que dictó la sentencia que constituye el acto reclamado,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 xml:space="preserve">los mismos son 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inoperantes, toda vez que resultaría injustificado examinar la constitucionalidad de la sentencia combatida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a la luz de razonamientos que no conoció la autoridad responsable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,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 xml:space="preserve">pues como tales manifestaciones no formaron parte de la </w:t>
      </w:r>
      <w:proofErr w:type="spellStart"/>
      <w:r w:rsidRPr="00F35B8B">
        <w:rPr>
          <w:rFonts w:ascii="Palatino Linotype" w:hAnsi="Palatino Linotype" w:cs="Arial"/>
          <w:b/>
          <w:i/>
          <w:sz w:val="22"/>
          <w:szCs w:val="21"/>
        </w:rPr>
        <w:t>litis</w:t>
      </w:r>
      <w:proofErr w:type="spellEnd"/>
      <w:r w:rsidRPr="00F35B8B">
        <w:rPr>
          <w:rFonts w:ascii="Palatino Linotype" w:hAnsi="Palatino Linotype" w:cs="Arial"/>
          <w:b/>
          <w:i/>
          <w:sz w:val="22"/>
          <w:szCs w:val="21"/>
        </w:rPr>
        <w:t xml:space="preserve"> natural</w:t>
      </w:r>
      <w:r w:rsidRPr="00F35B8B">
        <w:rPr>
          <w:rFonts w:ascii="Palatino Linotype" w:hAnsi="Palatino Linotype" w:cs="Arial"/>
          <w:i/>
          <w:sz w:val="22"/>
          <w:szCs w:val="21"/>
        </w:rPr>
        <w:t xml:space="preserve">, la Sala </w:t>
      </w:r>
      <w:r w:rsidRPr="00F35B8B">
        <w:rPr>
          <w:rFonts w:ascii="Palatino Linotype" w:hAnsi="Palatino Linotype" w:cs="Arial"/>
          <w:b/>
          <w:i/>
          <w:sz w:val="22"/>
          <w:szCs w:val="21"/>
        </w:rPr>
        <w:t>no tuvo la oportunidad legal de analizarlas ni de pronunciarse sobre ellas</w:t>
      </w:r>
      <w:r w:rsidRPr="00F35B8B">
        <w:rPr>
          <w:rFonts w:ascii="Palatino Linotype" w:hAnsi="Palatino Linotype" w:cs="Arial"/>
          <w:i/>
          <w:sz w:val="22"/>
          <w:szCs w:val="21"/>
        </w:rPr>
        <w:t>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>SEGUNDO TRIBUNAL COLEGIADO EN MATERIA ADMINISTRATIVA DEL SEXTO CIRCUITO.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>Amparo directo 338/2001. Hilados de Lana, S.A. de C.V. 31 de octubre de 2001. Unanimidad de votos. Ponente: Amanda R. García González. Secretaria: Fernanda María Adela Talavera Díaz.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 xml:space="preserve">Amparo directo 20/2002. Afianzadora Insurgentes, S.A. de C.V. 14 de febrero de 2002. Unanimidad de votos. Ponente: Omar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Losson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Ovando. Secretaria: Elsa María López Luna.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 xml:space="preserve">Amparo directo 271/2002. Fianzas México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Bital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, S.A., Grupo Financiero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Bital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. 7 de noviembre de 2002. Unanimidad de votos. Ponente: Antonio Meza Alarcón. Secretario: Roberto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Genchi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Recinos.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lastRenderedPageBreak/>
        <w:t xml:space="preserve">Amparo directo 181/2003. Constructora y Arrendadora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Paquime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, S.A. de C.V. 5 de junio de 2003. Unanimidad de votos. Ponente: Omar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Losson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Ovando. Secretaria: Elsa María López Luna.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 xml:space="preserve">Amparo directo 137/2003.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Oficentro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Zanella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, S.A. de C.V. 12 de junio de 2003. Unanimidad de votos. Ponente: Omar </w:t>
      </w:r>
      <w:proofErr w:type="spellStart"/>
      <w:r w:rsidRPr="00F35B8B">
        <w:rPr>
          <w:rFonts w:ascii="Palatino Linotype" w:hAnsi="Palatino Linotype" w:cs="Arial"/>
          <w:i/>
          <w:sz w:val="22"/>
          <w:szCs w:val="21"/>
        </w:rPr>
        <w:t>Losson</w:t>
      </w:r>
      <w:proofErr w:type="spellEnd"/>
      <w:r w:rsidRPr="00F35B8B">
        <w:rPr>
          <w:rFonts w:ascii="Palatino Linotype" w:hAnsi="Palatino Linotype" w:cs="Arial"/>
          <w:i/>
          <w:sz w:val="22"/>
          <w:szCs w:val="21"/>
        </w:rPr>
        <w:t xml:space="preserve"> Ovando. Secretaria: Elsa María López Luna.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i/>
          <w:sz w:val="22"/>
          <w:szCs w:val="21"/>
        </w:rPr>
      </w:pPr>
      <w:r w:rsidRPr="00F35B8B">
        <w:rPr>
          <w:rFonts w:ascii="Palatino Linotype" w:hAnsi="Palatino Linotype" w:cs="Arial"/>
          <w:i/>
          <w:sz w:val="22"/>
          <w:szCs w:val="21"/>
        </w:rPr>
        <w:t>Véase: Apéndice al Semanario Judicial de la Federación 1917-2000, Tomo III, Materia Administrativa, página 267, tesis 250, de rubro: "CONCEPTOS DE VIOLACIÓN EN EL AMPARO DIRECTO. INEFICACIA DE LOS ARGUMENTOS NO PROPUESTOS A LA SALA FISCAL RESPONSABLE."</w:t>
      </w: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sz w:val="22"/>
          <w:szCs w:val="21"/>
        </w:rPr>
      </w:pPr>
    </w:p>
    <w:p w:rsidR="000C32C4" w:rsidRPr="00F35B8B" w:rsidRDefault="000C32C4" w:rsidP="000C32C4">
      <w:pPr>
        <w:ind w:left="992" w:right="1043"/>
        <w:jc w:val="both"/>
        <w:rPr>
          <w:rFonts w:ascii="Palatino Linotype" w:hAnsi="Palatino Linotype" w:cs="Arial"/>
          <w:sz w:val="22"/>
          <w:szCs w:val="21"/>
        </w:rPr>
      </w:pPr>
      <w:r w:rsidRPr="00F35B8B">
        <w:rPr>
          <w:rFonts w:ascii="Palatino Linotype" w:hAnsi="Palatino Linotype" w:cs="Arial"/>
          <w:sz w:val="22"/>
          <w:szCs w:val="21"/>
        </w:rPr>
        <w:t>(Énfasis añadido)</w:t>
      </w:r>
    </w:p>
    <w:p w:rsidR="008E5EC0" w:rsidRDefault="00A14046" w:rsidP="008E5EC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</w:rPr>
        <w:t>P</w:t>
      </w:r>
      <w:r w:rsidR="008E5EC0">
        <w:rPr>
          <w:rFonts w:ascii="Palatino Linotype" w:hAnsi="Palatino Linotype"/>
          <w:color w:val="000000"/>
        </w:rPr>
        <w:t xml:space="preserve">or lo </w:t>
      </w:r>
      <w:r w:rsidR="00A04325">
        <w:rPr>
          <w:rFonts w:ascii="Palatino Linotype" w:hAnsi="Palatino Linotype"/>
          <w:color w:val="000000"/>
        </w:rPr>
        <w:t xml:space="preserve">anteriormente expuesto, </w:t>
      </w:r>
      <w:r w:rsidR="008E5EC0">
        <w:rPr>
          <w:rFonts w:ascii="Palatino Linotype" w:hAnsi="Palatino Linotype"/>
          <w:color w:val="000000"/>
        </w:rPr>
        <w:t>considero que en dicho fallo debió precisarse que las</w:t>
      </w:r>
      <w:r w:rsidR="008E5EC0" w:rsidRPr="00BB013F">
        <w:rPr>
          <w:rFonts w:ascii="Palatino Linotype" w:hAnsi="Palatino Linotype"/>
          <w:color w:val="000000"/>
        </w:rPr>
        <w:t xml:space="preserve"> manifestaciones </w:t>
      </w:r>
      <w:r w:rsidR="008E5EC0">
        <w:rPr>
          <w:rFonts w:ascii="Palatino Linotype" w:hAnsi="Palatino Linotype"/>
          <w:color w:val="000000"/>
        </w:rPr>
        <w:t>h</w:t>
      </w:r>
      <w:r w:rsidR="008E5EC0" w:rsidRPr="00BB013F">
        <w:rPr>
          <w:rFonts w:ascii="Palatino Linotype" w:hAnsi="Palatino Linotype"/>
          <w:color w:val="000000"/>
        </w:rPr>
        <w:t xml:space="preserve">echas por </w:t>
      </w:r>
      <w:r w:rsidR="008E5EC0">
        <w:rPr>
          <w:rFonts w:ascii="Palatino Linotype" w:hAnsi="Palatino Linotype"/>
          <w:color w:val="000000"/>
        </w:rPr>
        <w:t>el particular</w:t>
      </w:r>
      <w:r w:rsidR="008E5EC0">
        <w:rPr>
          <w:rFonts w:ascii="Palatino Linotype" w:hAnsi="Palatino Linotype"/>
          <w:b/>
          <w:color w:val="000000"/>
        </w:rPr>
        <w:t>,</w:t>
      </w:r>
      <w:r w:rsidR="008E5EC0">
        <w:rPr>
          <w:rFonts w:ascii="Palatino Linotype" w:hAnsi="Palatino Linotype"/>
          <w:color w:val="000000"/>
        </w:rPr>
        <w:t xml:space="preserve"> resultan parcialmente fundadas</w:t>
      </w:r>
      <w:r w:rsidR="008E5EC0" w:rsidRPr="00BB013F">
        <w:rPr>
          <w:rFonts w:ascii="Palatino Linotype" w:hAnsi="Palatino Linotype"/>
          <w:color w:val="000000"/>
        </w:rPr>
        <w:t xml:space="preserve"> </w:t>
      </w:r>
      <w:r w:rsidR="00A04325">
        <w:rPr>
          <w:rFonts w:ascii="Palatino Linotype" w:hAnsi="Palatino Linotype"/>
          <w:color w:val="000000"/>
        </w:rPr>
        <w:t xml:space="preserve">en virtud de que </w:t>
      </w:r>
      <w:r w:rsidR="008E5EC0">
        <w:rPr>
          <w:rFonts w:ascii="Palatino Linotype" w:hAnsi="Palatino Linotype"/>
          <w:color w:val="000000"/>
        </w:rPr>
        <w:t>en éstos refirió cuestiones que no iban encaminadas a inconformarse de la respuesta,</w:t>
      </w:r>
      <w:r w:rsidR="00BA0005">
        <w:rPr>
          <w:rFonts w:ascii="Palatino Linotype" w:hAnsi="Palatino Linotype"/>
          <w:color w:val="000000"/>
        </w:rPr>
        <w:t xml:space="preserve"> sino por el contrario pretendía ampliar su solicitud de información a través de la interposición del recurso de revisión, razón por la que</w:t>
      </w:r>
      <w:r w:rsidR="008E5EC0">
        <w:rPr>
          <w:rFonts w:ascii="Palatino Linotype" w:hAnsi="Palatino Linotype" w:cs="Arial"/>
        </w:rPr>
        <w:t xml:space="preserve">, </w:t>
      </w:r>
      <w:r w:rsidR="00BA0005">
        <w:rPr>
          <w:rFonts w:ascii="Palatino Linotype" w:hAnsi="Palatino Linotype" w:cs="Arial"/>
        </w:rPr>
        <w:t xml:space="preserve">se </w:t>
      </w:r>
      <w:r w:rsidR="008E5EC0">
        <w:rPr>
          <w:rFonts w:ascii="Palatino Linotype" w:hAnsi="Palatino Linotype" w:cs="Arial"/>
        </w:rPr>
        <w:t xml:space="preserve">emite </w:t>
      </w:r>
      <w:r w:rsidR="008E5EC0" w:rsidRPr="009A0480">
        <w:rPr>
          <w:rFonts w:ascii="Palatino Linotype" w:hAnsi="Palatino Linotype" w:cs="Arial"/>
          <w:b/>
        </w:rPr>
        <w:t>OPINIÓN PARTICULAR</w:t>
      </w:r>
      <w:r w:rsidR="008E5EC0" w:rsidRPr="00F74B57">
        <w:rPr>
          <w:rFonts w:ascii="Palatino Linotype" w:hAnsi="Palatino Linotype" w:cs="Arial"/>
        </w:rPr>
        <w:t xml:space="preserve"> </w:t>
      </w:r>
      <w:r w:rsidR="008E5EC0">
        <w:rPr>
          <w:rFonts w:ascii="Palatino Linotype" w:hAnsi="Palatino Linotype" w:cs="Arial"/>
        </w:rPr>
        <w:t xml:space="preserve">pues lo procedente sería precisar que las razones o motivos de inconformidad resultaron </w:t>
      </w:r>
      <w:r w:rsidR="008E5EC0" w:rsidRPr="006843D3">
        <w:rPr>
          <w:rFonts w:ascii="Palatino Linotype" w:hAnsi="Palatino Linotype" w:cs="Arial"/>
          <w:b/>
        </w:rPr>
        <w:t>parcialmente</w:t>
      </w:r>
      <w:r w:rsidR="008E5EC0">
        <w:rPr>
          <w:rFonts w:ascii="Palatino Linotype" w:hAnsi="Palatino Linotype" w:cs="Arial"/>
        </w:rPr>
        <w:t xml:space="preserve"> </w:t>
      </w:r>
      <w:r w:rsidR="008E5EC0" w:rsidRPr="00DD3D6A">
        <w:rPr>
          <w:rFonts w:ascii="Palatino Linotype" w:hAnsi="Palatino Linotype" w:cs="Arial"/>
          <w:b/>
        </w:rPr>
        <w:t>fundadas</w:t>
      </w:r>
      <w:r w:rsidR="008E5EC0">
        <w:rPr>
          <w:rFonts w:ascii="Palatino Linotype" w:hAnsi="Palatino Linotype" w:cs="Arial"/>
        </w:rPr>
        <w:t xml:space="preserve">, ya que dichas manifestaciones resultan improcedentes. </w:t>
      </w:r>
    </w:p>
    <w:p w:rsidR="00301D7F" w:rsidRDefault="00301D7F" w:rsidP="008E5EC0">
      <w:pPr>
        <w:jc w:val="center"/>
        <w:rPr>
          <w:rFonts w:ascii="Palatino Linotype" w:hAnsi="Palatino Linotype" w:cs="Arial"/>
          <w:b/>
        </w:rPr>
      </w:pPr>
    </w:p>
    <w:p w:rsidR="00301D7F" w:rsidRDefault="00301D7F" w:rsidP="008E5EC0">
      <w:pPr>
        <w:jc w:val="center"/>
        <w:rPr>
          <w:rFonts w:ascii="Palatino Linotype" w:hAnsi="Palatino Linotype" w:cs="Arial"/>
          <w:b/>
        </w:rPr>
      </w:pPr>
    </w:p>
    <w:p w:rsidR="008E5EC0" w:rsidRDefault="008E5EC0" w:rsidP="008E5EC0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 xml:space="preserve">EVA ABAID YAPUR </w:t>
      </w:r>
    </w:p>
    <w:p w:rsidR="00301D7F" w:rsidRDefault="008E5EC0" w:rsidP="00541EE0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COMISIONADA</w:t>
      </w:r>
    </w:p>
    <w:p w:rsidR="00541EE0" w:rsidRDefault="00541EE0" w:rsidP="00541EE0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(RÚBRICA)</w:t>
      </w:r>
    </w:p>
    <w:p w:rsidR="00541EE0" w:rsidRDefault="00541EE0" w:rsidP="00541EE0">
      <w:pPr>
        <w:jc w:val="center"/>
        <w:rPr>
          <w:rFonts w:ascii="Palatino Linotype" w:hAnsi="Palatino Linotype" w:cs="Arial"/>
          <w:b/>
        </w:rPr>
      </w:pPr>
    </w:p>
    <w:p w:rsidR="00541EE0" w:rsidRPr="00301D7F" w:rsidRDefault="00541EE0" w:rsidP="00541EE0">
      <w:pPr>
        <w:jc w:val="center"/>
        <w:rPr>
          <w:rFonts w:ascii="Palatino Linotype" w:hAnsi="Palatino Linotype" w:cs="Arial"/>
          <w:sz w:val="8"/>
          <w:szCs w:val="8"/>
        </w:rPr>
      </w:pPr>
    </w:p>
    <w:p w:rsidR="008E5EC0" w:rsidRPr="00EE5EF4" w:rsidRDefault="008E5EC0" w:rsidP="008E5EC0">
      <w:pPr>
        <w:jc w:val="both"/>
        <w:rPr>
          <w:rFonts w:ascii="Palatino Linotype" w:hAnsi="Palatino Linotype" w:cs="Arial"/>
          <w:sz w:val="20"/>
          <w:szCs w:val="20"/>
        </w:rPr>
      </w:pPr>
      <w:r w:rsidRPr="00EE5EF4">
        <w:rPr>
          <w:rFonts w:ascii="Palatino Linotype" w:hAnsi="Palatino Linotype" w:cs="Arial"/>
          <w:sz w:val="20"/>
          <w:szCs w:val="20"/>
        </w:rPr>
        <w:t xml:space="preserve">Esta hoja corresponde a la opinión particular </w:t>
      </w:r>
      <w:r>
        <w:rPr>
          <w:rFonts w:ascii="Palatino Linotype" w:hAnsi="Palatino Linotype" w:cs="Arial"/>
          <w:sz w:val="20"/>
          <w:szCs w:val="20"/>
        </w:rPr>
        <w:t xml:space="preserve">emitida en </w:t>
      </w:r>
      <w:r w:rsidRPr="00EE5EF4">
        <w:rPr>
          <w:rFonts w:ascii="Palatino Linotype" w:hAnsi="Palatino Linotype" w:cs="Arial"/>
          <w:sz w:val="20"/>
          <w:szCs w:val="20"/>
        </w:rPr>
        <w:t>la resolución del</w:t>
      </w:r>
      <w:r w:rsidR="00BA0005">
        <w:rPr>
          <w:rFonts w:ascii="Palatino Linotype" w:hAnsi="Palatino Linotype" w:cs="Arial"/>
          <w:sz w:val="20"/>
          <w:szCs w:val="20"/>
        </w:rPr>
        <w:t xml:space="preserve"> recurso de revisión 02891</w:t>
      </w:r>
      <w:r w:rsidRPr="00EE5EF4">
        <w:rPr>
          <w:rFonts w:ascii="Palatino Linotype" w:hAnsi="Palatino Linotype" w:cs="Arial"/>
          <w:sz w:val="20"/>
          <w:szCs w:val="20"/>
        </w:rPr>
        <w:t>/</w:t>
      </w:r>
      <w:r>
        <w:rPr>
          <w:rFonts w:ascii="Palatino Linotype" w:hAnsi="Palatino Linotype" w:cs="Arial"/>
          <w:sz w:val="20"/>
          <w:szCs w:val="20"/>
        </w:rPr>
        <w:t xml:space="preserve">INFOEM/IP/RR/2018, aprobado el </w:t>
      </w:r>
      <w:r w:rsidR="00BA0005">
        <w:rPr>
          <w:rFonts w:ascii="Palatino Linotype" w:hAnsi="Palatino Linotype" w:cs="Arial"/>
          <w:sz w:val="20"/>
          <w:szCs w:val="20"/>
        </w:rPr>
        <w:t>diecisiete</w:t>
      </w:r>
      <w:r>
        <w:rPr>
          <w:rFonts w:ascii="Palatino Linotype" w:hAnsi="Palatino Linotype" w:cs="Arial"/>
          <w:sz w:val="20"/>
          <w:szCs w:val="20"/>
        </w:rPr>
        <w:t xml:space="preserve"> de octubre de dos mil dieciocho.</w:t>
      </w:r>
    </w:p>
    <w:p w:rsidR="008E5EC0" w:rsidRDefault="008E5EC0" w:rsidP="008E5EC0">
      <w:pPr>
        <w:jc w:val="both"/>
      </w:pPr>
      <w:r w:rsidRPr="00EE5EF4">
        <w:rPr>
          <w:rFonts w:ascii="Palatino Linotype" w:hAnsi="Palatino Linotype" w:cs="Arial"/>
          <w:sz w:val="20"/>
          <w:szCs w:val="20"/>
        </w:rPr>
        <w:t>YSM/AMV</w:t>
      </w:r>
      <w:bookmarkStart w:id="0" w:name="_GoBack"/>
      <w:bookmarkEnd w:id="0"/>
    </w:p>
    <w:sectPr w:rsidR="008E5EC0" w:rsidSect="007D1B5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29" w:rsidRDefault="00FC3D29" w:rsidP="00A975AE">
      <w:r>
        <w:separator/>
      </w:r>
    </w:p>
  </w:endnote>
  <w:endnote w:type="continuationSeparator" w:id="0">
    <w:p w:rsidR="00FC3D29" w:rsidRDefault="00FC3D29" w:rsidP="00A9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55" w:rsidRDefault="00541EE0" w:rsidP="005324BC">
    <w:pPr>
      <w:pStyle w:val="Piedepgina"/>
      <w:jc w:val="right"/>
      <w:rPr>
        <w:rFonts w:ascii="Palatino Linotype" w:hAnsi="Palatino Linotype" w:cs="Arial"/>
        <w:b/>
        <w:bCs/>
        <w:sz w:val="14"/>
        <w:szCs w:val="14"/>
      </w:rPr>
    </w:pPr>
  </w:p>
  <w:p w:rsidR="00A04325" w:rsidRPr="00A406FC" w:rsidRDefault="00A04325" w:rsidP="005324BC">
    <w:pPr>
      <w:pStyle w:val="Piedepgina"/>
      <w:jc w:val="right"/>
      <w:rPr>
        <w:rFonts w:ascii="Palatino Linotype" w:hAnsi="Palatino Linotype" w:cs="Arial"/>
        <w:b/>
        <w:bCs/>
        <w:sz w:val="14"/>
        <w:szCs w:val="14"/>
      </w:rPr>
    </w:pPr>
  </w:p>
  <w:p w:rsidR="00A406FC" w:rsidRDefault="00541EE0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9A141A" w:rsidRDefault="00541EE0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7D1B55" w:rsidRDefault="00541EE0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2E3262" w:rsidRDefault="00541EE0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57457A" w:rsidRPr="00F12350" w:rsidRDefault="00B541F4" w:rsidP="005324BC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41EE0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41EE0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29" w:rsidRDefault="00FC3D29" w:rsidP="00A975AE">
      <w:r>
        <w:separator/>
      </w:r>
    </w:p>
  </w:footnote>
  <w:footnote w:type="continuationSeparator" w:id="0">
    <w:p w:rsidR="00FC3D29" w:rsidRDefault="00FC3D29" w:rsidP="00A9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Default="00541E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6" o:spid="_x0000_s2049" type="#_x0000_t136" style="position:absolute;margin-left:0;margin-top:0;width:632.6pt;height:7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PINIÓN PARTICULAR"/>
          <w10:wrap anchorx="margin" anchory="margin"/>
        </v:shape>
      </w:pict>
    </w:r>
    <w:r w:rsidR="00B541F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67931B" wp14:editId="24834F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70520" cy="956310"/>
              <wp:effectExtent l="0" t="2581275" r="0" b="237744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70520" cy="956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25A" w:rsidRDefault="00B541F4" w:rsidP="002652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FFAFAB"/>
                              <w:sz w:val="2"/>
                              <w:szCs w:val="2"/>
                              <w14:textFill>
                                <w14:solidFill>
                                  <w14:srgbClr w14:val="FFAFA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7931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7.6pt;height:75.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qugwIAAPs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26525A" w:rsidRDefault="00B541F4" w:rsidP="0026525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FFAFAB"/>
                        <w:sz w:val="2"/>
                        <w:szCs w:val="2"/>
                        <w14:textFill>
                          <w14:solidFill>
                            <w14:srgbClr w14:val="FFAFAB">
                              <w14:alpha w14:val="50000"/>
                            </w14:srgb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4E" w:rsidRDefault="00B541F4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C9EC849" wp14:editId="52767C66">
          <wp:simplePos x="0" y="0"/>
          <wp:positionH relativeFrom="margin">
            <wp:posOffset>-701211</wp:posOffset>
          </wp:positionH>
          <wp:positionV relativeFrom="paragraph">
            <wp:posOffset>-327555</wp:posOffset>
          </wp:positionV>
          <wp:extent cx="7604125" cy="990346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9A141A" w:rsidRDefault="00541EE0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A406FC" w:rsidRDefault="00541EE0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7457A" w:rsidRDefault="00B541F4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6F01F2">
      <w:rPr>
        <w:rFonts w:ascii="Palatino Linotype" w:hAnsi="Palatino Linotype" w:cs="Arial"/>
        <w:sz w:val="20"/>
        <w:szCs w:val="20"/>
      </w:rPr>
      <w:t>OPINIÓN PARTICULAR</w:t>
    </w:r>
  </w:p>
  <w:p w:rsidR="00910F0B" w:rsidRDefault="00B541F4" w:rsidP="00C37C2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A975AE">
      <w:rPr>
        <w:rFonts w:ascii="Palatino Linotype" w:hAnsi="Palatino Linotype" w:cs="Arial"/>
        <w:sz w:val="20"/>
        <w:szCs w:val="20"/>
      </w:rPr>
      <w:t xml:space="preserve"> DE REVISIÓN 02891</w:t>
    </w:r>
    <w:r>
      <w:rPr>
        <w:rFonts w:ascii="Palatino Linotype" w:hAnsi="Palatino Linotype" w:cs="Arial"/>
        <w:sz w:val="20"/>
        <w:szCs w:val="20"/>
      </w:rPr>
      <w:t>/INFOEM/IP/RR/2018</w:t>
    </w:r>
  </w:p>
  <w:p w:rsidR="003B0E66" w:rsidRDefault="00541EE0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7" o:spid="_x0000_s2050" type="#_x0000_t136" style="position:absolute;left:0;text-align:left;margin-left:0;margin-top:0;width:636.85pt;height:71.4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Default="00541E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5" o:spid="_x0000_s2051" type="#_x0000_t136" style="position:absolute;margin-left:0;margin-top:0;width:632.6pt;height:7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7490"/>
    <w:multiLevelType w:val="hybridMultilevel"/>
    <w:tmpl w:val="6EBCA28E"/>
    <w:lvl w:ilvl="0" w:tplc="50A2BCFA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516DE"/>
    <w:multiLevelType w:val="hybridMultilevel"/>
    <w:tmpl w:val="4CC488A4"/>
    <w:lvl w:ilvl="0" w:tplc="1918ECF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CC75C09"/>
    <w:multiLevelType w:val="hybridMultilevel"/>
    <w:tmpl w:val="F25AF3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C0"/>
    <w:rsid w:val="000C32C4"/>
    <w:rsid w:val="00101790"/>
    <w:rsid w:val="00253377"/>
    <w:rsid w:val="00260260"/>
    <w:rsid w:val="00301D7F"/>
    <w:rsid w:val="00541EE0"/>
    <w:rsid w:val="007F404C"/>
    <w:rsid w:val="008E5EC0"/>
    <w:rsid w:val="00A04325"/>
    <w:rsid w:val="00A14046"/>
    <w:rsid w:val="00A975AE"/>
    <w:rsid w:val="00B541F4"/>
    <w:rsid w:val="00BA0005"/>
    <w:rsid w:val="00BE1104"/>
    <w:rsid w:val="00C23B43"/>
    <w:rsid w:val="00C51E9C"/>
    <w:rsid w:val="00C9714C"/>
    <w:rsid w:val="00F8241D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D601ACD-B72D-4D5D-ABB1-4B12C046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EC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E5EC0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E5EC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5EC0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8E5EC0"/>
    <w:pPr>
      <w:spacing w:before="100" w:beforeAutospacing="1" w:after="100" w:afterAutospacing="1"/>
    </w:p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8E5EC0"/>
    <w:pPr>
      <w:ind w:left="708"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8E5E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0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00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5F4-A9EA-4E6B-98D3-73502CE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1655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2018-10-22T18:38:00Z</cp:lastPrinted>
  <dcterms:created xsi:type="dcterms:W3CDTF">2018-10-19T19:10:00Z</dcterms:created>
  <dcterms:modified xsi:type="dcterms:W3CDTF">2018-11-21T23:33:00Z</dcterms:modified>
</cp:coreProperties>
</file>